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5F0" w:rsidRDefault="005B7192">
      <w:pPr>
        <w:ind w:right="-81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Calibri" w:eastAsia="Calibri" w:hAnsi="Calibri" w:cs="Calibri"/>
          <w:b/>
          <w:bCs/>
          <w:sz w:val="40"/>
          <w:szCs w:val="40"/>
        </w:rPr>
        <w:t>ČESTNÉ PROHLÁŠENÍ</w:t>
      </w:r>
    </w:p>
    <w:p w:rsidR="000C15F0" w:rsidRDefault="000C15F0">
      <w:pPr>
        <w:spacing w:line="6" w:lineRule="exact"/>
        <w:rPr>
          <w:sz w:val="24"/>
          <w:szCs w:val="24"/>
        </w:rPr>
      </w:pPr>
    </w:p>
    <w:p w:rsidR="000C15F0" w:rsidRDefault="005B7192">
      <w:pPr>
        <w:ind w:right="-61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O NEEXISTENCI PŘÍZNAKŮ VIROVÉHO INFEKČNÍHO ONEMOCNĚNÍ</w:t>
      </w:r>
    </w:p>
    <w:p w:rsidR="000C15F0" w:rsidRDefault="005B71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385445</wp:posOffset>
            </wp:positionV>
            <wp:extent cx="6271260" cy="1584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5F0" w:rsidRDefault="000C15F0">
      <w:pPr>
        <w:spacing w:line="200" w:lineRule="exact"/>
        <w:rPr>
          <w:sz w:val="24"/>
          <w:szCs w:val="24"/>
        </w:rPr>
      </w:pPr>
    </w:p>
    <w:p w:rsidR="000C15F0" w:rsidRDefault="000C15F0">
      <w:pPr>
        <w:spacing w:line="200" w:lineRule="exact"/>
        <w:rPr>
          <w:sz w:val="24"/>
          <w:szCs w:val="24"/>
        </w:rPr>
      </w:pPr>
    </w:p>
    <w:p w:rsidR="000C15F0" w:rsidRDefault="000C15F0">
      <w:pPr>
        <w:spacing w:line="211" w:lineRule="exact"/>
        <w:rPr>
          <w:sz w:val="24"/>
          <w:szCs w:val="24"/>
        </w:rPr>
      </w:pPr>
    </w:p>
    <w:p w:rsidR="000C15F0" w:rsidRDefault="005B7192">
      <w:pPr>
        <w:ind w:left="8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Jméno a příjmení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(dítěte/žáka/studenta/účastníka vzdělávání)</w:t>
      </w:r>
    </w:p>
    <w:p w:rsidR="000C15F0" w:rsidRDefault="000C15F0">
      <w:pPr>
        <w:spacing w:line="200" w:lineRule="exact"/>
        <w:rPr>
          <w:sz w:val="24"/>
          <w:szCs w:val="24"/>
        </w:rPr>
      </w:pPr>
    </w:p>
    <w:p w:rsidR="000C15F0" w:rsidRDefault="000C15F0">
      <w:pPr>
        <w:spacing w:line="239" w:lineRule="exact"/>
        <w:rPr>
          <w:sz w:val="24"/>
          <w:szCs w:val="24"/>
        </w:rPr>
      </w:pPr>
    </w:p>
    <w:p w:rsidR="000C15F0" w:rsidRDefault="005B7192">
      <w:pPr>
        <w:ind w:left="82"/>
        <w:rPr>
          <w:sz w:val="20"/>
          <w:szCs w:val="20"/>
        </w:rPr>
      </w:pPr>
      <w:r>
        <w:rPr>
          <w:rFonts w:ascii="Calibri" w:eastAsia="Calibri" w:hAnsi="Calibri" w:cs="Calibri"/>
          <w:color w:val="428D96"/>
          <w:sz w:val="24"/>
          <w:szCs w:val="24"/>
          <w:shd w:val="clear" w:color="auto" w:fill="E2F0F2"/>
        </w:rPr>
        <w:t>…............................................................................................................................................................</w:t>
      </w:r>
    </w:p>
    <w:p w:rsidR="000C15F0" w:rsidRDefault="000C15F0">
      <w:pPr>
        <w:spacing w:line="200" w:lineRule="exact"/>
        <w:rPr>
          <w:sz w:val="24"/>
          <w:szCs w:val="24"/>
        </w:rPr>
      </w:pPr>
    </w:p>
    <w:p w:rsidR="000C15F0" w:rsidRDefault="000C15F0">
      <w:pPr>
        <w:spacing w:line="239" w:lineRule="exact"/>
        <w:rPr>
          <w:sz w:val="24"/>
          <w:szCs w:val="24"/>
        </w:rPr>
      </w:pPr>
    </w:p>
    <w:p w:rsidR="000C15F0" w:rsidRDefault="005B7192">
      <w:pPr>
        <w:ind w:left="8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datum narození: </w:t>
      </w:r>
      <w:r>
        <w:rPr>
          <w:rFonts w:ascii="Calibri" w:eastAsia="Calibri" w:hAnsi="Calibri" w:cs="Calibri"/>
          <w:color w:val="428D96"/>
          <w:sz w:val="24"/>
          <w:szCs w:val="24"/>
        </w:rPr>
        <w:t>................................................................................</w:t>
      </w:r>
      <w:r>
        <w:rPr>
          <w:rFonts w:ascii="Calibri" w:eastAsia="Calibri" w:hAnsi="Calibri" w:cs="Calibri"/>
          <w:color w:val="428D96"/>
          <w:sz w:val="24"/>
          <w:szCs w:val="24"/>
        </w:rPr>
        <w:t>...................................................</w:t>
      </w:r>
    </w:p>
    <w:p w:rsidR="000C15F0" w:rsidRDefault="000C15F0">
      <w:pPr>
        <w:spacing w:line="312" w:lineRule="exact"/>
        <w:rPr>
          <w:sz w:val="24"/>
          <w:szCs w:val="24"/>
        </w:rPr>
      </w:pPr>
    </w:p>
    <w:p w:rsidR="000C15F0" w:rsidRDefault="005B7192">
      <w:pPr>
        <w:ind w:left="8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trvale bytem: </w:t>
      </w:r>
      <w:r>
        <w:rPr>
          <w:rFonts w:ascii="Calibri" w:eastAsia="Calibri" w:hAnsi="Calibri" w:cs="Calibri"/>
          <w:color w:val="428D96"/>
          <w:sz w:val="24"/>
          <w:szCs w:val="24"/>
        </w:rPr>
        <w:t>….....................................................................................................................................</w:t>
      </w:r>
    </w:p>
    <w:p w:rsidR="000C15F0" w:rsidRDefault="000C15F0">
      <w:pPr>
        <w:spacing w:line="200" w:lineRule="exact"/>
        <w:rPr>
          <w:sz w:val="24"/>
          <w:szCs w:val="24"/>
        </w:rPr>
      </w:pPr>
    </w:p>
    <w:p w:rsidR="000C15F0" w:rsidRDefault="000C15F0">
      <w:pPr>
        <w:spacing w:line="319" w:lineRule="exact"/>
        <w:rPr>
          <w:sz w:val="24"/>
          <w:szCs w:val="24"/>
        </w:rPr>
      </w:pPr>
    </w:p>
    <w:p w:rsidR="000C15F0" w:rsidRDefault="005B7192">
      <w:pPr>
        <w:tabs>
          <w:tab w:val="left" w:pos="341"/>
        </w:tabs>
        <w:spacing w:line="218" w:lineRule="auto"/>
        <w:ind w:left="362" w:hanging="35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  <w:t>Prohlašuji, že se u výše uvedeného dítěte/žáka/st</w:t>
      </w:r>
      <w:r>
        <w:rPr>
          <w:rFonts w:ascii="Calibri" w:eastAsia="Calibri" w:hAnsi="Calibri" w:cs="Calibri"/>
          <w:sz w:val="24"/>
          <w:szCs w:val="24"/>
        </w:rPr>
        <w:t xml:space="preserve">udenta/účastníka vzdělávání neprojevují a v posledních dvou týdnech neprojevily příznaky virového infekčního onemocnění </w:t>
      </w:r>
      <w:r>
        <w:rPr>
          <w:rFonts w:ascii="Calibri" w:eastAsia="Calibri" w:hAnsi="Calibri" w:cs="Calibri"/>
          <w:i/>
          <w:iCs/>
          <w:sz w:val="24"/>
          <w:szCs w:val="24"/>
        </w:rPr>
        <w:t>(např.</w:t>
      </w:r>
    </w:p>
    <w:p w:rsidR="000C15F0" w:rsidRDefault="005B7192">
      <w:pPr>
        <w:ind w:left="362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horečka, kašel, dušnost, náhlá ztráta chuti a čichu apod.)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C15F0" w:rsidRDefault="000C15F0">
      <w:pPr>
        <w:spacing w:line="252" w:lineRule="exact"/>
        <w:rPr>
          <w:sz w:val="24"/>
          <w:szCs w:val="24"/>
        </w:rPr>
      </w:pPr>
    </w:p>
    <w:p w:rsidR="000C15F0" w:rsidRDefault="005B7192">
      <w:pPr>
        <w:numPr>
          <w:ilvl w:val="0"/>
          <w:numId w:val="1"/>
        </w:numPr>
        <w:tabs>
          <w:tab w:val="left" w:pos="362"/>
        </w:tabs>
        <w:spacing w:line="218" w:lineRule="auto"/>
        <w:ind w:left="362" w:hanging="3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Prohlašuji, že jsem byl seznámen s vymezením osob s rizikovými </w:t>
      </w:r>
      <w:r>
        <w:rPr>
          <w:rFonts w:ascii="Calibri" w:eastAsia="Calibri" w:hAnsi="Calibri" w:cs="Calibri"/>
          <w:sz w:val="24"/>
          <w:szCs w:val="24"/>
        </w:rPr>
        <w:t>faktory a s doporučením, abych zvážil tyto rizikové faktory při rozhodování o účasti na vzdělávacích aktivitách.</w:t>
      </w:r>
    </w:p>
    <w:p w:rsidR="000C15F0" w:rsidRDefault="000C15F0">
      <w:pPr>
        <w:spacing w:line="240" w:lineRule="exact"/>
        <w:rPr>
          <w:sz w:val="24"/>
          <w:szCs w:val="24"/>
        </w:rPr>
      </w:pPr>
    </w:p>
    <w:p w:rsidR="000C15F0" w:rsidRDefault="005B7192">
      <w:pPr>
        <w:ind w:left="82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V </w:t>
      </w:r>
      <w:r>
        <w:rPr>
          <w:rFonts w:ascii="Calibri" w:eastAsia="Calibri" w:hAnsi="Calibri" w:cs="Calibri"/>
          <w:color w:val="428D96"/>
          <w:sz w:val="24"/>
          <w:szCs w:val="24"/>
        </w:rPr>
        <w:t>.......................................</w:t>
      </w:r>
    </w:p>
    <w:p w:rsidR="000C15F0" w:rsidRDefault="000C15F0">
      <w:pPr>
        <w:spacing w:line="194" w:lineRule="exact"/>
        <w:rPr>
          <w:sz w:val="24"/>
          <w:szCs w:val="24"/>
        </w:rPr>
      </w:pPr>
    </w:p>
    <w:p w:rsidR="000C15F0" w:rsidRDefault="005B7192">
      <w:pPr>
        <w:ind w:left="82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Dne </w:t>
      </w:r>
      <w:r>
        <w:rPr>
          <w:rFonts w:ascii="Calibri" w:eastAsia="Calibri" w:hAnsi="Calibri" w:cs="Calibri"/>
          <w:color w:val="428D96"/>
          <w:sz w:val="24"/>
          <w:szCs w:val="24"/>
        </w:rPr>
        <w:t>...................................</w:t>
      </w:r>
    </w:p>
    <w:p w:rsidR="000C15F0" w:rsidRDefault="000C15F0">
      <w:pPr>
        <w:spacing w:line="72" w:lineRule="exact"/>
        <w:rPr>
          <w:sz w:val="24"/>
          <w:szCs w:val="24"/>
        </w:rPr>
      </w:pPr>
    </w:p>
    <w:p w:rsidR="000C15F0" w:rsidRDefault="005B7192">
      <w:pPr>
        <w:ind w:left="4562"/>
        <w:rPr>
          <w:sz w:val="20"/>
          <w:szCs w:val="20"/>
        </w:rPr>
      </w:pPr>
      <w:r>
        <w:rPr>
          <w:rFonts w:ascii="Calibri" w:eastAsia="Calibri" w:hAnsi="Calibri" w:cs="Calibri"/>
          <w:color w:val="428D96"/>
          <w:sz w:val="24"/>
          <w:szCs w:val="24"/>
        </w:rPr>
        <w:t>………………………………………………………………………………</w:t>
      </w:r>
    </w:p>
    <w:p w:rsidR="000C15F0" w:rsidRDefault="000C15F0">
      <w:pPr>
        <w:spacing w:line="74" w:lineRule="exact"/>
        <w:rPr>
          <w:sz w:val="24"/>
          <w:szCs w:val="24"/>
        </w:rPr>
      </w:pPr>
    </w:p>
    <w:p w:rsidR="000C15F0" w:rsidRDefault="005B7192">
      <w:pPr>
        <w:ind w:left="43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Podpis zletilého žáka/stud</w:t>
      </w:r>
      <w:r>
        <w:rPr>
          <w:rFonts w:ascii="Calibri" w:eastAsia="Calibri" w:hAnsi="Calibri" w:cs="Calibri"/>
          <w:sz w:val="24"/>
          <w:szCs w:val="24"/>
        </w:rPr>
        <w:t>enta/účastníka vzdělávání</w:t>
      </w:r>
    </w:p>
    <w:p w:rsidR="000C15F0" w:rsidRDefault="005B7192">
      <w:pPr>
        <w:ind w:left="44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nebo</w:t>
      </w:r>
    </w:p>
    <w:p w:rsidR="000C15F0" w:rsidRDefault="005B7192">
      <w:pPr>
        <w:ind w:left="44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Podpis zákonného zástupce nezletilého</w:t>
      </w:r>
    </w:p>
    <w:p w:rsidR="000C15F0" w:rsidRDefault="005B71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6158230" cy="1860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230" cy="186055"/>
                        </a:xfrm>
                        <a:prstGeom prst="rect">
                          <a:avLst/>
                        </a:prstGeom>
                        <a:solidFill>
                          <a:srgbClr val="A2DBE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504BD6" id="Shape 2" o:spid="_x0000_s1026" style="position:absolute;margin-left:2.25pt;margin-top:12.2pt;width:484.9pt;height:14.6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" o:allowincell="f" fillcolor="#a2dbe2" stroked="f"/>
            </w:pict>
          </mc:Fallback>
        </mc:AlternateContent>
      </w:r>
    </w:p>
    <w:p w:rsidR="000C15F0" w:rsidRDefault="000C15F0">
      <w:pPr>
        <w:spacing w:line="220" w:lineRule="exact"/>
        <w:rPr>
          <w:sz w:val="24"/>
          <w:szCs w:val="24"/>
        </w:rPr>
      </w:pPr>
    </w:p>
    <w:p w:rsidR="000C15F0" w:rsidRDefault="005B7192">
      <w:pPr>
        <w:ind w:left="18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Osoby s rizikovými faktory</w:t>
      </w:r>
    </w:p>
    <w:p w:rsidR="000C15F0" w:rsidRDefault="000C15F0">
      <w:pPr>
        <w:spacing w:line="240" w:lineRule="exact"/>
        <w:rPr>
          <w:sz w:val="24"/>
          <w:szCs w:val="24"/>
        </w:rPr>
      </w:pPr>
    </w:p>
    <w:p w:rsidR="000C15F0" w:rsidRDefault="005B7192">
      <w:pPr>
        <w:ind w:left="8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Ministerstvo zdravotnictví stanovilo následující rizikové faktory:</w:t>
      </w:r>
    </w:p>
    <w:p w:rsidR="000C15F0" w:rsidRDefault="000C15F0">
      <w:pPr>
        <w:spacing w:line="41" w:lineRule="exact"/>
        <w:rPr>
          <w:sz w:val="24"/>
          <w:szCs w:val="24"/>
        </w:rPr>
      </w:pPr>
    </w:p>
    <w:p w:rsidR="000C15F0" w:rsidRDefault="005B7192">
      <w:pPr>
        <w:numPr>
          <w:ilvl w:val="0"/>
          <w:numId w:val="2"/>
        </w:numPr>
        <w:tabs>
          <w:tab w:val="left" w:pos="722"/>
        </w:tabs>
        <w:ind w:left="722" w:hanging="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Věk nad 65 let s přidruženými chronickými chorobami.</w:t>
      </w:r>
    </w:p>
    <w:p w:rsidR="000C15F0" w:rsidRDefault="000C15F0">
      <w:pPr>
        <w:spacing w:line="93" w:lineRule="exact"/>
        <w:rPr>
          <w:rFonts w:ascii="Calibri" w:eastAsia="Calibri" w:hAnsi="Calibri" w:cs="Calibri"/>
          <w:sz w:val="24"/>
          <w:szCs w:val="24"/>
        </w:rPr>
      </w:pPr>
    </w:p>
    <w:p w:rsidR="000C15F0" w:rsidRDefault="005B7192">
      <w:pPr>
        <w:numPr>
          <w:ilvl w:val="0"/>
          <w:numId w:val="2"/>
        </w:numPr>
        <w:tabs>
          <w:tab w:val="left" w:pos="722"/>
        </w:tabs>
        <w:spacing w:line="218" w:lineRule="auto"/>
        <w:ind w:left="722" w:right="840" w:hanging="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Chronické onemocnění plic </w:t>
      </w:r>
      <w:r>
        <w:rPr>
          <w:rFonts w:ascii="Calibri" w:eastAsia="Calibri" w:hAnsi="Calibri" w:cs="Calibri"/>
          <w:i/>
          <w:iCs/>
          <w:sz w:val="24"/>
          <w:szCs w:val="24"/>
        </w:rPr>
        <w:t>(zahrnuje i středně závažné a závažné astma bronchiale)</w:t>
      </w:r>
      <w:r>
        <w:rPr>
          <w:rFonts w:ascii="Calibri" w:eastAsia="Calibri" w:hAnsi="Calibri" w:cs="Calibri"/>
          <w:sz w:val="24"/>
          <w:szCs w:val="24"/>
        </w:rPr>
        <w:t xml:space="preserve"> s dlouhodobou systémovou farmakologickou léčbou.</w:t>
      </w:r>
    </w:p>
    <w:p w:rsidR="000C15F0" w:rsidRDefault="000C15F0">
      <w:pPr>
        <w:spacing w:line="94" w:lineRule="exact"/>
        <w:rPr>
          <w:rFonts w:ascii="Calibri" w:eastAsia="Calibri" w:hAnsi="Calibri" w:cs="Calibri"/>
          <w:sz w:val="24"/>
          <w:szCs w:val="24"/>
        </w:rPr>
      </w:pPr>
    </w:p>
    <w:p w:rsidR="000C15F0" w:rsidRDefault="005B7192">
      <w:pPr>
        <w:numPr>
          <w:ilvl w:val="0"/>
          <w:numId w:val="2"/>
        </w:numPr>
        <w:tabs>
          <w:tab w:val="left" w:pos="722"/>
        </w:tabs>
        <w:spacing w:line="218" w:lineRule="auto"/>
        <w:ind w:left="722" w:right="100" w:hanging="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Onemocnění srdce a/nebo velkých cév s dlouhodobou systémovou farmakologickou léčbou např. hypertenze.</w:t>
      </w:r>
    </w:p>
    <w:p w:rsidR="000C15F0" w:rsidRDefault="000C15F0">
      <w:pPr>
        <w:spacing w:line="38" w:lineRule="exact"/>
        <w:rPr>
          <w:rFonts w:ascii="Calibri" w:eastAsia="Calibri" w:hAnsi="Calibri" w:cs="Calibri"/>
          <w:sz w:val="24"/>
          <w:szCs w:val="24"/>
        </w:rPr>
      </w:pPr>
    </w:p>
    <w:p w:rsidR="000C15F0" w:rsidRDefault="005B7192">
      <w:pPr>
        <w:numPr>
          <w:ilvl w:val="0"/>
          <w:numId w:val="2"/>
        </w:numPr>
        <w:tabs>
          <w:tab w:val="left" w:pos="722"/>
        </w:tabs>
        <w:ind w:left="722" w:hanging="3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Porucha imunitního systému, např.</w:t>
      </w:r>
    </w:p>
    <w:p w:rsidR="000C15F0" w:rsidRDefault="005B7192">
      <w:pPr>
        <w:numPr>
          <w:ilvl w:val="1"/>
          <w:numId w:val="2"/>
        </w:numPr>
        <w:tabs>
          <w:tab w:val="left" w:pos="1282"/>
        </w:tabs>
        <w:ind w:left="1282" w:hanging="3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při imunosupr</w:t>
      </w:r>
      <w:r>
        <w:rPr>
          <w:rFonts w:ascii="Calibri" w:eastAsia="Calibri" w:hAnsi="Calibri" w:cs="Calibri"/>
          <w:sz w:val="24"/>
          <w:szCs w:val="24"/>
        </w:rPr>
        <w:t xml:space="preserve">esivní léčbě </w:t>
      </w:r>
      <w:r>
        <w:rPr>
          <w:rFonts w:ascii="Calibri" w:eastAsia="Calibri" w:hAnsi="Calibri" w:cs="Calibri"/>
          <w:i/>
          <w:iCs/>
          <w:sz w:val="24"/>
          <w:szCs w:val="24"/>
        </w:rPr>
        <w:t>(steroidy, HIV apod.)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0C15F0" w:rsidRDefault="000C15F0">
      <w:pPr>
        <w:spacing w:line="2" w:lineRule="exact"/>
        <w:rPr>
          <w:rFonts w:ascii="Calibri" w:eastAsia="Calibri" w:hAnsi="Calibri" w:cs="Calibri"/>
          <w:sz w:val="24"/>
          <w:szCs w:val="24"/>
        </w:rPr>
      </w:pPr>
    </w:p>
    <w:p w:rsidR="000C15F0" w:rsidRDefault="005B7192">
      <w:pPr>
        <w:numPr>
          <w:ilvl w:val="1"/>
          <w:numId w:val="2"/>
        </w:numPr>
        <w:tabs>
          <w:tab w:val="left" w:pos="1282"/>
        </w:tabs>
        <w:ind w:left="1282" w:hanging="3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při protinádorové léčbě,</w:t>
      </w:r>
    </w:p>
    <w:p w:rsidR="000C15F0" w:rsidRDefault="005B7192">
      <w:pPr>
        <w:numPr>
          <w:ilvl w:val="1"/>
          <w:numId w:val="2"/>
        </w:numPr>
        <w:tabs>
          <w:tab w:val="left" w:pos="1282"/>
        </w:tabs>
        <w:ind w:left="1282" w:hanging="3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 transplantaci solidních orgánů a/nebo kostní dřeně,</w:t>
      </w:r>
    </w:p>
    <w:p w:rsidR="000C15F0" w:rsidRDefault="000C15F0">
      <w:pPr>
        <w:spacing w:line="22" w:lineRule="exact"/>
        <w:rPr>
          <w:rFonts w:ascii="Calibri" w:eastAsia="Calibri" w:hAnsi="Calibri" w:cs="Calibri"/>
          <w:sz w:val="24"/>
          <w:szCs w:val="24"/>
        </w:rPr>
      </w:pPr>
    </w:p>
    <w:p w:rsidR="000C15F0" w:rsidRDefault="005B7192">
      <w:pPr>
        <w:numPr>
          <w:ilvl w:val="0"/>
          <w:numId w:val="2"/>
        </w:numPr>
        <w:tabs>
          <w:tab w:val="left" w:pos="722"/>
        </w:tabs>
        <w:ind w:left="722" w:hanging="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Těžká obezita </w:t>
      </w:r>
      <w:r>
        <w:rPr>
          <w:rFonts w:ascii="Calibri" w:eastAsia="Calibri" w:hAnsi="Calibri" w:cs="Calibri"/>
          <w:i/>
          <w:iCs/>
          <w:sz w:val="24"/>
          <w:szCs w:val="24"/>
        </w:rPr>
        <w:t>(BMI nad 40 kg/m</w:t>
      </w:r>
      <w:r>
        <w:rPr>
          <w:rFonts w:ascii="Calibri" w:eastAsia="Calibri" w:hAnsi="Calibri" w:cs="Calibri"/>
          <w:i/>
          <w:iCs/>
          <w:sz w:val="32"/>
          <w:szCs w:val="32"/>
          <w:vertAlign w:val="superscript"/>
        </w:rPr>
        <w:t>2</w:t>
      </w:r>
      <w:r>
        <w:rPr>
          <w:rFonts w:ascii="Calibri" w:eastAsia="Calibri" w:hAnsi="Calibri" w:cs="Calibri"/>
          <w:i/>
          <w:iCs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C15F0" w:rsidRDefault="005B7192">
      <w:pPr>
        <w:numPr>
          <w:ilvl w:val="0"/>
          <w:numId w:val="2"/>
        </w:numPr>
        <w:tabs>
          <w:tab w:val="left" w:pos="722"/>
        </w:tabs>
        <w:spacing w:line="206" w:lineRule="auto"/>
        <w:ind w:left="722" w:hanging="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Farmakologicky léčený diabetes mellitus.</w:t>
      </w:r>
    </w:p>
    <w:p w:rsidR="000C15F0" w:rsidRDefault="000C15F0">
      <w:pPr>
        <w:spacing w:line="94" w:lineRule="exact"/>
        <w:rPr>
          <w:rFonts w:ascii="Calibri" w:eastAsia="Calibri" w:hAnsi="Calibri" w:cs="Calibri"/>
          <w:sz w:val="24"/>
          <w:szCs w:val="24"/>
        </w:rPr>
      </w:pPr>
    </w:p>
    <w:p w:rsidR="000C15F0" w:rsidRDefault="005B7192">
      <w:pPr>
        <w:numPr>
          <w:ilvl w:val="0"/>
          <w:numId w:val="2"/>
        </w:numPr>
        <w:tabs>
          <w:tab w:val="left" w:pos="722"/>
        </w:tabs>
        <w:spacing w:line="218" w:lineRule="auto"/>
        <w:ind w:left="722" w:right="300" w:hanging="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Chronické onemocnění ledvin vyžadující dočasnou nebo trvalou podporu/náhradu funkce ledvin </w:t>
      </w:r>
      <w:r>
        <w:rPr>
          <w:rFonts w:ascii="Calibri" w:eastAsia="Calibri" w:hAnsi="Calibri" w:cs="Calibri"/>
          <w:i/>
          <w:iCs/>
          <w:sz w:val="24"/>
          <w:szCs w:val="24"/>
        </w:rPr>
        <w:t>(dialýza)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C15F0" w:rsidRDefault="000C15F0">
      <w:pPr>
        <w:spacing w:line="41" w:lineRule="exact"/>
        <w:rPr>
          <w:rFonts w:ascii="Calibri" w:eastAsia="Calibri" w:hAnsi="Calibri" w:cs="Calibri"/>
          <w:sz w:val="24"/>
          <w:szCs w:val="24"/>
        </w:rPr>
      </w:pPr>
    </w:p>
    <w:p w:rsidR="000C15F0" w:rsidRDefault="005B7192">
      <w:pPr>
        <w:numPr>
          <w:ilvl w:val="0"/>
          <w:numId w:val="2"/>
        </w:numPr>
        <w:tabs>
          <w:tab w:val="left" w:pos="722"/>
        </w:tabs>
        <w:ind w:left="722" w:hanging="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Onemocnění jater </w:t>
      </w:r>
      <w:r>
        <w:rPr>
          <w:rFonts w:ascii="Calibri" w:eastAsia="Calibri" w:hAnsi="Calibri" w:cs="Calibri"/>
          <w:i/>
          <w:iCs/>
          <w:sz w:val="24"/>
          <w:szCs w:val="24"/>
        </w:rPr>
        <w:t>(primární nebo sekundární)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C15F0" w:rsidRDefault="000C15F0">
      <w:pPr>
        <w:spacing w:line="211" w:lineRule="exact"/>
        <w:rPr>
          <w:sz w:val="24"/>
          <w:szCs w:val="24"/>
        </w:rPr>
      </w:pPr>
    </w:p>
    <w:p w:rsidR="000C15F0" w:rsidRDefault="005B7192">
      <w:pPr>
        <w:spacing w:line="218" w:lineRule="auto"/>
        <w:ind w:left="82" w:righ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Do rizikové skupiny patří osoba, která naplňuje alespoň jeden bod uvedený výše nebo pokud některý z bodů na</w:t>
      </w:r>
      <w:r>
        <w:rPr>
          <w:rFonts w:ascii="Calibri" w:eastAsia="Calibri" w:hAnsi="Calibri" w:cs="Calibri"/>
          <w:sz w:val="24"/>
          <w:szCs w:val="24"/>
        </w:rPr>
        <w:t>plňuje jakákoliv osoba, která s ní žije ve společné domácnosti.</w:t>
      </w:r>
    </w:p>
    <w:sectPr w:rsidR="000C15F0">
      <w:pgSz w:w="11900" w:h="16838"/>
      <w:pgMar w:top="1123" w:right="1126" w:bottom="670" w:left="1058" w:header="0" w:footer="0" w:gutter="0"/>
      <w:cols w:space="708" w:equalWidth="0">
        <w:col w:w="97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9869"/>
    <w:multiLevelType w:val="hybridMultilevel"/>
    <w:tmpl w:val="ACEED564"/>
    <w:lvl w:ilvl="0" w:tplc="EE4C6BC8">
      <w:start w:val="2"/>
      <w:numFmt w:val="decimal"/>
      <w:lvlText w:val="%1."/>
      <w:lvlJc w:val="left"/>
    </w:lvl>
    <w:lvl w:ilvl="1" w:tplc="335CAFC6">
      <w:numFmt w:val="decimal"/>
      <w:lvlText w:val=""/>
      <w:lvlJc w:val="left"/>
    </w:lvl>
    <w:lvl w:ilvl="2" w:tplc="BF662044">
      <w:numFmt w:val="decimal"/>
      <w:lvlText w:val=""/>
      <w:lvlJc w:val="left"/>
    </w:lvl>
    <w:lvl w:ilvl="3" w:tplc="3DC0520A">
      <w:numFmt w:val="decimal"/>
      <w:lvlText w:val=""/>
      <w:lvlJc w:val="left"/>
    </w:lvl>
    <w:lvl w:ilvl="4" w:tplc="B33A34F2">
      <w:numFmt w:val="decimal"/>
      <w:lvlText w:val=""/>
      <w:lvlJc w:val="left"/>
    </w:lvl>
    <w:lvl w:ilvl="5" w:tplc="9672109E">
      <w:numFmt w:val="decimal"/>
      <w:lvlText w:val=""/>
      <w:lvlJc w:val="left"/>
    </w:lvl>
    <w:lvl w:ilvl="6" w:tplc="E54C3110">
      <w:numFmt w:val="decimal"/>
      <w:lvlText w:val=""/>
      <w:lvlJc w:val="left"/>
    </w:lvl>
    <w:lvl w:ilvl="7" w:tplc="BAB42B9C">
      <w:numFmt w:val="decimal"/>
      <w:lvlText w:val=""/>
      <w:lvlJc w:val="left"/>
    </w:lvl>
    <w:lvl w:ilvl="8" w:tplc="71AAF24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85127F4E"/>
    <w:lvl w:ilvl="0" w:tplc="3A541CF8">
      <w:start w:val="1"/>
      <w:numFmt w:val="decimal"/>
      <w:lvlText w:val="%1."/>
      <w:lvlJc w:val="left"/>
    </w:lvl>
    <w:lvl w:ilvl="1" w:tplc="B6E290DC">
      <w:start w:val="1"/>
      <w:numFmt w:val="lowerLetter"/>
      <w:lvlText w:val="%2)"/>
      <w:lvlJc w:val="left"/>
    </w:lvl>
    <w:lvl w:ilvl="2" w:tplc="CC462B12">
      <w:numFmt w:val="decimal"/>
      <w:lvlText w:val=""/>
      <w:lvlJc w:val="left"/>
    </w:lvl>
    <w:lvl w:ilvl="3" w:tplc="DCC057F0">
      <w:numFmt w:val="decimal"/>
      <w:lvlText w:val=""/>
      <w:lvlJc w:val="left"/>
    </w:lvl>
    <w:lvl w:ilvl="4" w:tplc="12F8F034">
      <w:numFmt w:val="decimal"/>
      <w:lvlText w:val=""/>
      <w:lvlJc w:val="left"/>
    </w:lvl>
    <w:lvl w:ilvl="5" w:tplc="8C287BC6">
      <w:numFmt w:val="decimal"/>
      <w:lvlText w:val=""/>
      <w:lvlJc w:val="left"/>
    </w:lvl>
    <w:lvl w:ilvl="6" w:tplc="CF70B112">
      <w:numFmt w:val="decimal"/>
      <w:lvlText w:val=""/>
      <w:lvlJc w:val="left"/>
    </w:lvl>
    <w:lvl w:ilvl="7" w:tplc="78B062E2">
      <w:numFmt w:val="decimal"/>
      <w:lvlText w:val=""/>
      <w:lvlJc w:val="left"/>
    </w:lvl>
    <w:lvl w:ilvl="8" w:tplc="FF4EF54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F0"/>
    <w:rsid w:val="000C15F0"/>
    <w:rsid w:val="005B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058BB-6376-4512-ADAA-8D77AA7F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 Brožová</cp:lastModifiedBy>
  <cp:revision>2</cp:revision>
  <dcterms:created xsi:type="dcterms:W3CDTF">2020-05-05T06:53:00Z</dcterms:created>
  <dcterms:modified xsi:type="dcterms:W3CDTF">2020-05-05T06:53:00Z</dcterms:modified>
</cp:coreProperties>
</file>